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left"/>
      </w:pPr>
      <w:r>
        <w:drawing>
          <wp:inline xmlns:a="http://schemas.openxmlformats.org/drawingml/2006/main" xmlns:pic="http://schemas.openxmlformats.org/drawingml/2006/picture">
            <wp:extent cx="954000" cy="954000"/>
            <wp:docPr id="1" name="Picture 1"/>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954000" cy="954000"/>
                    </a:xfrm>
                    <a:prstGeom prst="rect"/>
                  </pic:spPr>
                </pic:pic>
              </a:graphicData>
            </a:graphic>
          </wp:inline>
        </w:drawing>
      </w:r>
    </w:p>
    <w:p>
      <w:pPr>
        <w:pStyle w:val="Title"/>
      </w:pPr>
      <w:r>
        <w:t>Algemene beleidsgids voor gemeenteraden</w:t>
      </w:r>
    </w:p>
    <w:p>
      <w:r>
        <w:t>Rechtmatige, begrijpelijke en uitvoerbare gemeentelijke regels</w:t>
      </w:r>
    </w:p>
    <w:p>
      <w:r>
        <w:t>Martin Slingenberg  |  september 2026</w:t>
      </w:r>
    </w:p>
    <w:p>
      <w:pPr>
        <w:spacing w:after="240" w:before="100"/>
      </w:pPr>
      <w:r>
        <w:rPr>
          <w:b/>
        </w:rPr>
        <w:t xml:space="preserve">Meer informatie  </w:t>
      </w:r>
      <w:hyperlink r:id="rId11">
        <w:r>
          <w:rPr>
            <w:color w:val="00468B"/>
            <w:u w:val="single"/>
          </w:rPr>
          <w:t>https://mobiele-recreatie.nl</w:t>
        </w:r>
      </w:hyperlink>
    </w:p>
    <w:p>
      <w:pPr>
        <w:pStyle w:val="Heading1"/>
      </w:pPr>
      <w:r>
        <w:t>Waar deze gids voor dient</w:t>
      </w:r>
    </w:p>
    <w:p>
      <w:r>
        <w:t>De gemeenteraad stelt verordeningen en kaders vast en controleert het college. Een voorstel verdient daarom meer dan de vraag of het beleidsdoel wenselijk is. De raad moet ook kunnen beoordelen of de gemeente bevoegd is, de regel duidelijk is, belangen zijn onderzocht en de uitvoering voor inwoners werkt. Deze gids geeft daarvoor praktische vragen. Hij is bruikbaar bij onderwerpen zoals openbare ruimte, parkeren, zorg, vergunningen, subsidies en digitale dienstverlening.</w:t>
      </w:r>
    </w:p>
    <w:p>
      <w:r>
        <w:t>De hoofdvraag luidt: welk concreet probleem lost deze regel op, en kunnen we uitleggen waarom juist deze aanpak rechtmatig en redelijk is? Een goed raadsvoorstel laat de feiten, alternatieven, gevolgen en keuzes zien. Bij twijfel over een specifieke bevoegdheid of rechtsgevolg is een juridische toets op de concrete regeling nodig.</w:t>
      </w:r>
    </w:p>
    <w:p>
      <w:pPr>
        <w:pStyle w:val="Heading1"/>
      </w:pPr>
      <w:r>
        <w:t>1 Het probleem en het doel</w:t>
      </w:r>
    </w:p>
    <w:p>
      <w:r>
        <w:t>Begin bij het feitelijke probleem. Klachten, incidenten en aannames zijn niet altijd hetzelfde als een structureel knelpunt. Vraag hoeveel mensen worden geraakt, waar en wanneer het probleem speelt en wat al is geprobeerd. Formuleer het doel zo dat later kan worden vastgesteld of de maatregel werkt.</w:t>
      </w:r>
    </w:p>
    <w:p>
      <w:r>
        <w:t>Voorbeeld: bij overlast in een park kan een gemeente kiezen tussen inrichting, beheer, gerichte handhaving of een verbod. De raad kan pas kiezen wanneer bekend is welk gedrag de overlast veroorzaakt en welke aanpak dat gedrag waarschijnlijk verandert.</w:t>
      </w:r>
    </w:p>
    <w:p>
      <w:pPr>
        <w:pStyle w:val="Heading1"/>
      </w:pPr>
      <w:r>
        <w:t>2 Bevoegdheid en juridisch instrument</w:t>
      </w:r>
    </w:p>
    <w:p>
      <w:r>
        <w:t>Maak onderscheid tussen een verordening van de raad, een besluit van het college, een beleidsregel en een werkinstructie. Elk heeft een andere functie en rechtswerking. Vraag welke wettelijke bevoegdheid de maatregel draagt, welk bestuursorgaan beslist en welke landelijke of internationale regels grenzen stellen. Een beleidsregel kan geen zelfstandige bevoegdheid scheppen. Een uitvoeringspraktijk mag de gepubliceerde regel niet ongemerkt verzwaren.</w:t>
      </w:r>
    </w:p>
    <w:p>
      <w:r>
        <w:t>Vraag bij een voorstel om een overzicht van de wettelijke grondslag, de verhouding tot bestaande lokale regels en de reden waarom juist dit instrument is gekozen. Controleer ook wie uitzonderingen mag verlenen en onder welke voorwaarden.</w:t>
      </w:r>
    </w:p>
    <w:p>
      <w:pPr>
        <w:pStyle w:val="Heading1"/>
      </w:pPr>
      <w:r>
        <w:t>3 Zorgvuldige voorbereiding en betrokkenheid</w:t>
      </w:r>
    </w:p>
    <w:p>
      <w:r>
        <w:t>Een besluit moet steunen op relevante feiten en kenbare belangen. Artikel 3:2 Awb verlangt voor besluiten een zorgvuldige voorbereiding. Voor algemeen verbindende voorschriften gelden de Awb-regels niet steeds op dezelfde manier; de raad moet ook daar deugdelijk onderzoek en een inzichtelijke afweging vragen. Betrek mensen die de maatregel in het dagelijks leven ondervinden tijdig, in plaats van pas wanneer de tekst af is.</w:t>
      </w:r>
    </w:p>
    <w:p>
      <w:r>
        <w:t>Bij beleid dat mensen met een beperking raakt, is hun nauwe betrokkenheid via representatieve organisaties een belangrijk uitgangspunt van artikel 4, derde lid, VN-verdrag Handicap. Vraag wie is geraadpleegd, welke ervaringen zijn ingebracht en wat daarmee is gedaan. Eén overlegmoment vervangt geen toets van de praktische uitwerking.</w:t>
      </w:r>
    </w:p>
    <w:p>
      <w:pPr>
        <w:pStyle w:val="Heading1"/>
      </w:pPr>
      <w:r>
        <w:t>4 Rechtsbeginselen als praktische toets</w:t>
      </w:r>
    </w:p>
    <w:p>
      <w:pPr>
        <w:pStyle w:val="Heading2"/>
      </w:pPr>
      <w:r>
        <w:t>Gelijkheid en uitlegbare verschillen</w:t>
      </w:r>
    </w:p>
    <w:p>
      <w:r>
        <w:t>Vergelijkbare gevallen vragen om vergelijkbare behandeling. Verschillen tussen gebieden, groepen of gemeenten zijn niet automatisch verboden. Leg wel uit welke relevante verschillen een afwijkende regel rechtvaardigen en of de regeling onbedoeld groepen buitensluit.</w:t>
      </w:r>
    </w:p>
    <w:p>
      <w:pPr>
        <w:pStyle w:val="Heading2"/>
      </w:pPr>
      <w:r>
        <w:t>Evenredigheid</w:t>
      </w:r>
    </w:p>
    <w:p>
      <w:r>
        <w:t>Artikel 3:4, tweede lid, Awb bepaalt dat nadelige gevolgen van een besluit niet onevenredig mogen zijn in verhouding tot de doelen. Vraag of de maatregel geschikt is, of een minder belastende aanpak mogelijk is en hoe zwaar de nadelen voor betrokkenen wegen. De precieze toets hangt af van de bevoegdheid en de omstandigheden. Ook de toepassing van beleidsregels kan op evenredigheid worden beoordeeld.</w:t>
      </w:r>
    </w:p>
    <w:p>
      <w:pPr>
        <w:pStyle w:val="Heading2"/>
      </w:pPr>
      <w:r>
        <w:t>Rechtszekerheid en motivering</w:t>
      </w:r>
    </w:p>
    <w:p>
      <w:r>
        <w:t>Mensen moeten kunnen achterhalen wat geldt, waar en vanaf wanneer. Definieer kernbegrippen, vermijd tegenstrijdige informatie en laat uitzonderingen duidelijk publiceren. Voor individuele besluiten is een draagkrachtige motivering van belang; een goede toelichting op een raadsvoorstel maakt ook de gemaakte beleidskeuzes controleerbaar.</w:t>
      </w:r>
    </w:p>
    <w:p>
      <w:pPr>
        <w:pStyle w:val="Heading1"/>
      </w:pPr>
      <w:r>
        <w:t>5 Uitvoerbaarheid en toegankelijkheid</w:t>
      </w:r>
    </w:p>
    <w:p>
      <w:r>
        <w:t>Een regel kan juridisch verdedigbaar zijn en toch slecht werken. Doorloop de route van een inwoner of bezoeker: hoe hoort die van de regel, wat moet die doen, welke kosten en stappen ontstaan en hoe wordt een fout hersteld? Test de regeling bij voorkeur vóór invoering met mensen die verschillende vormen van ondersteuning gebruiken.</w:t>
      </w:r>
    </w:p>
    <w:p>
      <w:r>
        <w:t>Denk aan een digitaal vergunningstelsel dat alleen via een app werkt, een groenplan dat een geleidelijn onderbreekt, of een voorziening waarvoor iemand bij meerdere loketten dezelfde gegevens moet opgeven. Vraag welke niet-digitale route beschikbaar is, of de fysieke omgeving toegankelijk blijft en wie knelpunten oplost.</w:t>
      </w:r>
    </w:p>
    <w:p>
      <w:pPr>
        <w:pStyle w:val="Heading1"/>
      </w:pPr>
      <w:r>
        <w:t>6 Gegevensverwerking en toezicht</w:t>
      </w:r>
    </w:p>
    <w:p>
      <w:r>
        <w:t>Bij camera’s, kentekenregistratie, koppeling van bestanden of digitale controles moet de gemeente vooraf bepalen welke persoonsgegevens zij verwerkt, voor welk specifiek doel, op welke rechtsgrond en hoelang zij die bewaart. Vraag wie toegang heeft, of minder gegevens volstaan en of een gegevensbeschermingseffectbeoordeling verplicht is. Een nuttig beleidsdoel alleen is geen privacygrondslag.</w:t>
      </w:r>
    </w:p>
    <w:p>
      <w:r>
        <w:t>Vraag bij handhaving wat de norm precies is en welke feiten een toezichthouder moet vastleggen. Een rapport moet de waarnemingen beschrijven die de conclusie kunnen dragen. Controleer de betrouwbaarheid van geautomatiseerde signalen, de mogelijkheid tot menselijke beoordeling en de procedure om fouten te corrigeren. De bewijsregels verschillen per handhavingstraject; vermijd algemene uitspraken dat een gebrek in gegevensverwerking bewijs steeds automatisch uitsluit.</w:t>
      </w:r>
    </w:p>
    <w:p>
      <w:pPr>
        <w:pStyle w:val="Heading1"/>
      </w:pPr>
      <w:r>
        <w:t>7 Gevolgen, kosten en evaluatie</w:t>
      </w:r>
    </w:p>
    <w:p>
      <w:r>
        <w:t>Laat het voorstel de lasten voor inwoners, ondernemers en uitvoering benoemen, inclusief uitzonderingen, bezwaarafhandeling, technische systemen en toezicht. Spreek bij vaststelling af welke signalen worden gevolgd, wanneer de raad een evaluatie ontvangt en bij welke uitkomst de regel wordt aangepast. Leg vast wie verantwoordelijk is voor openbaar toegankelijke, actuele informatie.</w:t>
      </w:r>
    </w:p>
    <w:p>
      <w:pPr>
        <w:pStyle w:val="Heading1"/>
      </w:pPr>
      <w:r>
        <w:t>8 Van voorstel tot besluit</w:t>
      </w:r>
    </w:p>
    <w:p>
      <w:r>
        <w:t>Een bruikbaar raadsvoorstel bevat ten minste de probleembeschrijving, de bevoegdheid, de voorgestelde norm, alternatieven, verwachte gevolgen, betrokkenheid van belanghebbenden, kosten en een voorstel voor evaluatie. Vraag expliciet wat bij uitvoering nog door het college kan worden ingevuld. Als wezenlijke keuzes pas later worden gemaakt, moet de raad weten op welke wijze hij daarover wordt geïnformeerd of opnieuw beslist.</w:t>
      </w:r>
    </w:p>
    <w:p>
      <w:r>
        <w:t>Let ook op de overgang naar de nieuwe regeling. Vanaf welke datum geldt zij, hoe horen betrokkenen ervan, en krijgen zij tijd om hun gedrag of werkwijze aan te passen? Een regeling die op papier helder is, kan alsnog verrassend uitpakken wanneer borden, websites, brieven en loketinformatie uiteenlopen.</w:t>
      </w:r>
    </w:p>
    <w:p>
      <w:pPr>
        <w:pStyle w:val="Heading1"/>
      </w:pPr>
      <w:r>
        <w:t>9 De raad houdt zicht op de praktijk</w:t>
      </w:r>
    </w:p>
    <w:p>
      <w:r>
        <w:t>De taak van de raad eindigt niet bij vaststelling. Vraag na invoering naar klachten, bezwaren, uitzonderingen en de ervaringen van mensen die het meest met de regel te maken krijgen. Cijfers over handhaving vertellen slechts een deel van het verhaal: een daling van overtredingen kan ook betekenen dat mensen een voorziening vermijden omdat de toegang te ingewikkeld is.</w:t>
      </w:r>
    </w:p>
    <w:p>
      <w:r>
        <w:t>Spreek af wat het college terugrapporteert en wanneer. Maak daarbij onderscheid tussen een uitvoeringsprobleem dat snel hersteld kan worden en een probleem in de norm zelf dat aanpassing van de verordening vraagt. Leg eerdere besluiten, toezeggingen en evaluaties vindbaar vast, zodat nieuwe raadsleden en medewerkers niet telkens opnieuw hoeven te beginnen.</w:t>
      </w:r>
    </w:p>
    <w:p>
      <w:pPr>
        <w:pStyle w:val="Heading1"/>
      </w:pPr>
      <w:r>
        <w:t>Tien vragen voor de raad</w:t>
      </w:r>
    </w:p>
    <w:p>
      <w:pPr>
        <w:pStyle w:val="ListBullet"/>
      </w:pPr>
      <w:r>
        <w:t>Welk concreet probleem is met feiten onderbouwd?</w:t>
      </w:r>
    </w:p>
    <w:p>
      <w:pPr>
        <w:pStyle w:val="ListBullet"/>
      </w:pPr>
      <w:r>
        <w:t>Wat is het doel en hoe meten we of het wordt bereikt?</w:t>
      </w:r>
    </w:p>
    <w:p>
      <w:pPr>
        <w:pStyle w:val="ListBullet"/>
      </w:pPr>
      <w:r>
        <w:t>Welk orgaan is bevoegd en wat is de wettelijke grondslag?</w:t>
      </w:r>
    </w:p>
    <w:p>
      <w:pPr>
        <w:pStyle w:val="ListBullet"/>
      </w:pPr>
      <w:r>
        <w:t>Waarom is dit instrument gekozen en welke alternatieven zijn onderzocht?</w:t>
      </w:r>
    </w:p>
    <w:p>
      <w:pPr>
        <w:pStyle w:val="ListBullet"/>
      </w:pPr>
      <w:r>
        <w:t>Zijn begrippen, uitzonderingen en ingangsdatum voor inwoners duidelijk?</w:t>
      </w:r>
    </w:p>
    <w:p>
      <w:pPr>
        <w:pStyle w:val="ListBullet"/>
      </w:pPr>
      <w:r>
        <w:t>Wie ondervindt nadelen en zijn die in verhouding tot het doel?</w:t>
      </w:r>
    </w:p>
    <w:p>
      <w:pPr>
        <w:pStyle w:val="ListBullet"/>
      </w:pPr>
      <w:r>
        <w:t>Welke betrokken inwoners en organisaties hebben kunnen meedenken?</w:t>
      </w:r>
    </w:p>
    <w:p>
      <w:pPr>
        <w:pStyle w:val="ListBullet"/>
      </w:pPr>
      <w:r>
        <w:t>Werkt de regeling voor mensen met een beperking en zonder digitale middelen?</w:t>
      </w:r>
    </w:p>
    <w:p>
      <w:pPr>
        <w:pStyle w:val="ListBullet"/>
      </w:pPr>
      <w:r>
        <w:t>Welke gegevens worden verwerkt en hoe is de handhaving controleerbaar?</w:t>
      </w:r>
    </w:p>
    <w:p>
      <w:pPr>
        <w:pStyle w:val="ListBullet"/>
      </w:pPr>
      <w:r>
        <w:t>Wanneer krijgt de raad de uitkomsten terug en wie past knelpunten aan?</w:t>
      </w:r>
    </w:p>
    <w:p>
      <w:pPr>
        <w:pStyle w:val="Heading1"/>
      </w:pPr>
      <w:r>
        <w:t>Tot slot</w:t>
      </w:r>
    </w:p>
    <w:p>
      <w:r>
        <w:t>De raad hoeft niet zelf iedere juridische detailvraag te beantwoorden. Hij moet wel genoeg informatie verlangen om een bewuste keuze te maken. Als grondslag, gevolgen of uitvoering onduidelijk blijven, is aanvulling van het voorstel nodig voordat de raad de regel vaststelt.</w:t>
      </w:r>
    </w:p>
    <w:p>
      <w:pPr>
        <w:pStyle w:val="Heading1"/>
      </w:pPr>
      <w:r>
        <w:t>Juridische ankers en geraadpleegde bronnen</w:t>
      </w:r>
    </w:p>
    <w:p>
      <w:pPr>
        <w:pStyle w:val="ListBullet"/>
      </w:pPr>
      <w:r>
        <w:t>Algemene wet bestuursrecht, met name artikelen 3:2, 3:4, 3:46 en 4:84; toets steeds de toepasselijkheid op het soort besluit.</w:t>
      </w:r>
    </w:p>
    <w:p>
      <w:pPr>
        <w:pStyle w:val="ListBullet"/>
      </w:pPr>
      <w:r>
        <w:t>Gemeentewet, met name artikelen 147, 149 en 160 over bevoegdheden van raad en college.</w:t>
      </w:r>
    </w:p>
    <w:p>
      <w:pPr>
        <w:pStyle w:val="ListBullet"/>
      </w:pPr>
      <w:r>
        <w:t>VN-verdrag Handicap, artikel 4, derde lid, over betrokkenheid van mensen met een beperking.</w:t>
      </w:r>
    </w:p>
    <w:p>
      <w:pPr>
        <w:pStyle w:val="ListBullet"/>
      </w:pPr>
      <w:r>
        <w:t>Afdeling bestuursrechtspraak Raad van State, ECLI:NL:RVS:2022:285 en vervolg over evenredigheid: https://www.raadvanstate.nl/uitspraken/%40128622/202002668-1-a3/ en https://www.raadvanstate.nl/uitspraken/%40129908/202006952-1-a3/</w:t>
      </w:r>
    </w:p>
    <w:sectPr w:rsidR="00FC693F" w:rsidRPr="0006063C" w:rsidSect="00034616">
      <w:footerReference w:type="default" r:id="rId9"/>
      <w:headerReference w:type="first" r:id="rId10"/>
      <w:pgSz w:w="11906" w:h="16838"/>
      <w:pgMar w:top="1247" w:right="1417" w:bottom="1134" w:left="1417"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Algemene beleidsgids voor gemeenteraden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ptos" w:hAnsi="Aptos"/>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ascii="Aptos" w:hAnsi="Aptos"/>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240" w:line="240" w:lineRule="auto" w:before="0"/>
      <w:contextualSpacing/>
    </w:pPr>
    <w:rPr>
      <w:rFonts w:asciiTheme="majorHAnsi" w:eastAsiaTheme="majorEastAsia" w:hAnsiTheme="majorHAnsi" w:cstheme="majorBidi" w:ascii="Aptos Display" w:hAnsi="Aptos Display"/>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 Id="rId11" Type="http://schemas.openxmlformats.org/officeDocument/2006/relationships/hyperlink" Target="https://mobiele-recreatie.nl" TargetMode="External"/><Relationship Id="rId12"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