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B70D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Onderwerp:</w:t>
      </w:r>
      <w:r w:rsidRPr="00597165">
        <w:rPr>
          <w:rFonts w:cstheme="minorHAnsi"/>
          <w:sz w:val="28"/>
          <w:szCs w:val="28"/>
        </w:rPr>
        <w:t xml:space="preserve"> Bezwaar tegen naheffingsaanslag parkeerbelasting</w:t>
      </w:r>
    </w:p>
    <w:p w14:paraId="07B15248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Geachte commissie,</w:t>
      </w:r>
    </w:p>
    <w:p w14:paraId="38AE3E7E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Hierbij maak ik bezwaar tegen de opgelegde naheffingsaanslag parkeerbelasting. Deze naheffing legt een </w:t>
      </w:r>
      <w:r w:rsidRPr="00597165">
        <w:rPr>
          <w:rFonts w:cstheme="minorHAnsi"/>
          <w:b/>
          <w:bCs/>
          <w:sz w:val="28"/>
          <w:szCs w:val="28"/>
        </w:rPr>
        <w:t>onevenredige last</w:t>
      </w:r>
      <w:r w:rsidRPr="00597165">
        <w:rPr>
          <w:rFonts w:cstheme="minorHAnsi"/>
          <w:sz w:val="28"/>
          <w:szCs w:val="28"/>
        </w:rPr>
        <w:t xml:space="preserve"> op mijn situatie als persoon met ernstige mobiliteitsbeperkingen en staat haaks op </w:t>
      </w:r>
      <w:r w:rsidRPr="00597165">
        <w:rPr>
          <w:rFonts w:cstheme="minorHAnsi"/>
          <w:b/>
          <w:bCs/>
          <w:sz w:val="28"/>
          <w:szCs w:val="28"/>
        </w:rPr>
        <w:t>artikel 1 Grondwet</w:t>
      </w:r>
      <w:r w:rsidRPr="00597165">
        <w:rPr>
          <w:rFonts w:cstheme="minorHAnsi"/>
          <w:sz w:val="28"/>
          <w:szCs w:val="28"/>
        </w:rPr>
        <w:t xml:space="preserve"> (gelijke behandeling) en andere relevante wet- en regelgeving.</w:t>
      </w:r>
    </w:p>
    <w:p w14:paraId="0FA0334E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Persoonlijke gegevens:</w:t>
      </w:r>
    </w:p>
    <w:p w14:paraId="0FDCEE69" w14:textId="77777777" w:rsidR="00597165" w:rsidRPr="00597165" w:rsidRDefault="00597165" w:rsidP="00597165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Voorletters: ………</w:t>
      </w:r>
    </w:p>
    <w:p w14:paraId="29B2F907" w14:textId="77777777" w:rsidR="00597165" w:rsidRPr="00597165" w:rsidRDefault="00597165" w:rsidP="00597165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Straat: ………</w:t>
      </w:r>
    </w:p>
    <w:p w14:paraId="520854F0" w14:textId="77777777" w:rsidR="00597165" w:rsidRPr="00597165" w:rsidRDefault="00597165" w:rsidP="00597165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Postcode/plaats: ………</w:t>
      </w:r>
    </w:p>
    <w:p w14:paraId="24AF5B66" w14:textId="77777777" w:rsidR="00597165" w:rsidRPr="00597165" w:rsidRDefault="00597165" w:rsidP="00597165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BSN-nummer:</w:t>
      </w:r>
      <w:r w:rsidRPr="00597165">
        <w:rPr>
          <w:rFonts w:cstheme="minorHAnsi"/>
          <w:sz w:val="28"/>
          <w:szCs w:val="28"/>
        </w:rPr>
        <w:t xml:space="preserve"> ………</w:t>
      </w:r>
    </w:p>
    <w:p w14:paraId="76521438" w14:textId="77777777" w:rsidR="00597165" w:rsidRPr="00597165" w:rsidRDefault="00597165" w:rsidP="00597165">
      <w:pPr>
        <w:numPr>
          <w:ilvl w:val="0"/>
          <w:numId w:val="13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Telefoonnummer: ………</w:t>
      </w:r>
    </w:p>
    <w:p w14:paraId="45DEA314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pict w14:anchorId="094B6BD2">
          <v:rect id="_x0000_i1099" style="width:0;height:1.5pt" o:hralign="center" o:hrstd="t" o:hr="t" fillcolor="#a0a0a0" stroked="f"/>
        </w:pict>
      </w:r>
    </w:p>
    <w:p w14:paraId="0922FE20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597165">
        <w:rPr>
          <w:rFonts w:cstheme="minorHAnsi"/>
          <w:b/>
          <w:bCs/>
          <w:sz w:val="28"/>
          <w:szCs w:val="28"/>
        </w:rPr>
        <w:t xml:space="preserve"> Kernpunten van het bezwaar:</w:t>
      </w:r>
    </w:p>
    <w:p w14:paraId="1E7BCC85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Symbol" w:hAnsi="Segoe UI Symbol" w:cs="Segoe UI Symbol"/>
          <w:b/>
          <w:bCs/>
          <w:sz w:val="28"/>
          <w:szCs w:val="28"/>
        </w:rPr>
        <w:t>➤</w:t>
      </w:r>
      <w:r w:rsidRPr="00597165">
        <w:rPr>
          <w:rFonts w:cstheme="minorHAnsi"/>
          <w:b/>
          <w:bCs/>
          <w:sz w:val="28"/>
          <w:szCs w:val="28"/>
        </w:rPr>
        <w:t xml:space="preserve"> 1. Beperkte mobiliteit en redelijkheid</w:t>
      </w:r>
    </w:p>
    <w:p w14:paraId="0E61DB51" w14:textId="77777777" w:rsidR="00597165" w:rsidRPr="00597165" w:rsidRDefault="00597165" w:rsidP="00597165">
      <w:pPr>
        <w:numPr>
          <w:ilvl w:val="0"/>
          <w:numId w:val="14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Ik kan </w:t>
      </w:r>
      <w:r w:rsidRPr="00597165">
        <w:rPr>
          <w:rFonts w:cstheme="minorHAnsi"/>
          <w:b/>
          <w:bCs/>
          <w:sz w:val="28"/>
          <w:szCs w:val="28"/>
        </w:rPr>
        <w:t>niet zelfstandig</w:t>
      </w:r>
      <w:r w:rsidRPr="00597165">
        <w:rPr>
          <w:rFonts w:cstheme="minorHAnsi"/>
          <w:sz w:val="28"/>
          <w:szCs w:val="28"/>
        </w:rPr>
        <w:t xml:space="preserve"> alle parkeerregels onderzoeken of ontoegankelijke parkeerautomaten bedienen.</w:t>
      </w:r>
    </w:p>
    <w:p w14:paraId="5B277376" w14:textId="77777777" w:rsidR="00597165" w:rsidRPr="00597165" w:rsidRDefault="00597165" w:rsidP="00597165">
      <w:pPr>
        <w:numPr>
          <w:ilvl w:val="0"/>
          <w:numId w:val="14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De naheffing is </w:t>
      </w:r>
      <w:r w:rsidRPr="00597165">
        <w:rPr>
          <w:rFonts w:cstheme="minorHAnsi"/>
          <w:b/>
          <w:bCs/>
          <w:sz w:val="28"/>
          <w:szCs w:val="28"/>
        </w:rPr>
        <w:t>disproportioneel</w:t>
      </w:r>
      <w:r w:rsidRPr="00597165">
        <w:rPr>
          <w:rFonts w:cstheme="minorHAnsi"/>
          <w:sz w:val="28"/>
          <w:szCs w:val="28"/>
        </w:rPr>
        <w:t xml:space="preserve"> gezien mijn beperkingen.</w:t>
      </w:r>
    </w:p>
    <w:p w14:paraId="1385692F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Symbol" w:hAnsi="Segoe UI Symbol" w:cs="Segoe UI Symbol"/>
          <w:b/>
          <w:bCs/>
          <w:sz w:val="28"/>
          <w:szCs w:val="28"/>
        </w:rPr>
        <w:t>➤</w:t>
      </w:r>
      <w:r w:rsidRPr="00597165">
        <w:rPr>
          <w:rFonts w:cstheme="minorHAnsi"/>
          <w:b/>
          <w:bCs/>
          <w:sz w:val="28"/>
          <w:szCs w:val="28"/>
        </w:rPr>
        <w:t xml:space="preserve"> 2. Jurisprudentie</w:t>
      </w:r>
    </w:p>
    <w:p w14:paraId="0020F876" w14:textId="77777777" w:rsidR="00597165" w:rsidRPr="00597165" w:rsidRDefault="00597165" w:rsidP="00597165">
      <w:pPr>
        <w:numPr>
          <w:ilvl w:val="0"/>
          <w:numId w:val="15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Rechtbank Den Haag (2 april 2015, ECLI:NL:RBDHA:2015:4052) bevestigt dat </w:t>
      </w:r>
      <w:proofErr w:type="spellStart"/>
      <w:r w:rsidRPr="00597165">
        <w:rPr>
          <w:rFonts w:cstheme="minorHAnsi"/>
          <w:sz w:val="28"/>
          <w:szCs w:val="28"/>
        </w:rPr>
        <w:t>onderzoeksplicht</w:t>
      </w:r>
      <w:proofErr w:type="spellEnd"/>
      <w:r w:rsidRPr="00597165">
        <w:rPr>
          <w:rFonts w:cstheme="minorHAnsi"/>
          <w:sz w:val="28"/>
          <w:szCs w:val="28"/>
        </w:rPr>
        <w:t xml:space="preserve"> </w:t>
      </w:r>
      <w:r w:rsidRPr="00597165">
        <w:rPr>
          <w:rFonts w:cstheme="minorHAnsi"/>
          <w:b/>
          <w:bCs/>
          <w:sz w:val="28"/>
          <w:szCs w:val="28"/>
        </w:rPr>
        <w:t>binnen redelijke grenzen</w:t>
      </w:r>
      <w:r w:rsidRPr="00597165">
        <w:rPr>
          <w:rFonts w:cstheme="minorHAnsi"/>
          <w:sz w:val="28"/>
          <w:szCs w:val="28"/>
        </w:rPr>
        <w:t xml:space="preserve"> voldoende is.</w:t>
      </w:r>
    </w:p>
    <w:p w14:paraId="0BE865D1" w14:textId="77777777" w:rsidR="00597165" w:rsidRPr="00597165" w:rsidRDefault="00597165" w:rsidP="00597165">
      <w:pPr>
        <w:numPr>
          <w:ilvl w:val="0"/>
          <w:numId w:val="15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Volledige kennis van lokale regels is </w:t>
      </w:r>
      <w:r w:rsidRPr="00597165">
        <w:rPr>
          <w:rFonts w:cstheme="minorHAnsi"/>
          <w:b/>
          <w:bCs/>
          <w:sz w:val="28"/>
          <w:szCs w:val="28"/>
        </w:rPr>
        <w:t>niet redelijk te verwachten</w:t>
      </w:r>
      <w:r w:rsidRPr="00597165">
        <w:rPr>
          <w:rFonts w:cstheme="minorHAnsi"/>
          <w:sz w:val="28"/>
          <w:szCs w:val="28"/>
        </w:rPr>
        <w:t xml:space="preserve"> voor mensen met beperking.</w:t>
      </w:r>
    </w:p>
    <w:p w14:paraId="6D96B713" w14:textId="06BF1CB6" w:rsidR="00597165" w:rsidRPr="00597165" w:rsidRDefault="00597165" w:rsidP="00597165">
      <w:pPr>
        <w:numPr>
          <w:ilvl w:val="0"/>
          <w:numId w:val="15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Link naar uitspraak:</w:t>
      </w:r>
      <w:r w:rsidRPr="00597165">
        <w:rPr>
          <w:rFonts w:cstheme="minorHAnsi"/>
          <w:sz w:val="28"/>
          <w:szCs w:val="28"/>
        </w:rPr>
        <w:t xml:space="preserve"> </w:t>
      </w:r>
      <w:hyperlink r:id="rId5" w:tgtFrame="_blank" w:history="1">
        <w:r w:rsidRPr="00597165">
          <w:rPr>
            <w:rStyle w:val="Hyperlink"/>
            <w:rFonts w:cstheme="minorHAnsi"/>
            <w:sz w:val="28"/>
            <w:szCs w:val="28"/>
          </w:rPr>
          <w:t>ECLI:NL:RBDHA:2015:4052</w:t>
        </w:r>
      </w:hyperlink>
    </w:p>
    <w:p w14:paraId="49FA4C4D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Symbol" w:hAnsi="Segoe UI Symbol" w:cs="Segoe UI Symbol"/>
          <w:b/>
          <w:bCs/>
          <w:sz w:val="28"/>
          <w:szCs w:val="28"/>
        </w:rPr>
        <w:t>➤</w:t>
      </w:r>
      <w:r w:rsidRPr="00597165">
        <w:rPr>
          <w:rFonts w:cstheme="minorHAnsi"/>
          <w:b/>
          <w:bCs/>
          <w:sz w:val="28"/>
          <w:szCs w:val="28"/>
        </w:rPr>
        <w:t xml:space="preserve"> 3. Ontbreken van duidelijke communicatie</w:t>
      </w:r>
    </w:p>
    <w:p w14:paraId="224E12FF" w14:textId="77777777" w:rsidR="00597165" w:rsidRPr="00597165" w:rsidRDefault="00597165" w:rsidP="00597165">
      <w:pPr>
        <w:numPr>
          <w:ilvl w:val="0"/>
          <w:numId w:val="16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Ter plaatse ontbraken duidelijke aanwijzingen voor gehandicapten.</w:t>
      </w:r>
    </w:p>
    <w:p w14:paraId="283B7F21" w14:textId="77777777" w:rsidR="00597165" w:rsidRPr="00597165" w:rsidRDefault="00597165" w:rsidP="00597165">
      <w:pPr>
        <w:numPr>
          <w:ilvl w:val="0"/>
          <w:numId w:val="16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Dit leidt tot </w:t>
      </w:r>
      <w:r w:rsidRPr="00597165">
        <w:rPr>
          <w:rFonts w:cstheme="minorHAnsi"/>
          <w:b/>
          <w:bCs/>
          <w:sz w:val="28"/>
          <w:szCs w:val="28"/>
        </w:rPr>
        <w:t>feitelijke uitsluiting</w:t>
      </w:r>
      <w:r w:rsidRPr="00597165">
        <w:rPr>
          <w:rFonts w:cstheme="minorHAnsi"/>
          <w:sz w:val="28"/>
          <w:szCs w:val="28"/>
        </w:rPr>
        <w:t xml:space="preserve"> van deelname aan maatschappelijk verkeer.</w:t>
      </w:r>
    </w:p>
    <w:p w14:paraId="0D88DB33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Symbol" w:hAnsi="Segoe UI Symbol" w:cs="Segoe UI Symbol"/>
          <w:b/>
          <w:bCs/>
          <w:sz w:val="28"/>
          <w:szCs w:val="28"/>
        </w:rPr>
        <w:lastRenderedPageBreak/>
        <w:t>➤</w:t>
      </w:r>
      <w:r w:rsidRPr="00597165">
        <w:rPr>
          <w:rFonts w:cstheme="minorHAnsi"/>
          <w:b/>
          <w:bCs/>
          <w:sz w:val="28"/>
          <w:szCs w:val="28"/>
        </w:rPr>
        <w:t xml:space="preserve"> 4. Grondwettelijke bescherming – artikel 1 Grondwet</w:t>
      </w:r>
    </w:p>
    <w:p w14:paraId="564DEE92" w14:textId="77777777" w:rsidR="00597165" w:rsidRPr="00597165" w:rsidRDefault="00597165" w:rsidP="00597165">
      <w:pPr>
        <w:numPr>
          <w:ilvl w:val="0"/>
          <w:numId w:val="17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Artikel 1 garandeert </w:t>
      </w:r>
      <w:r w:rsidRPr="00597165">
        <w:rPr>
          <w:rFonts w:cstheme="minorHAnsi"/>
          <w:b/>
          <w:bCs/>
          <w:sz w:val="28"/>
          <w:szCs w:val="28"/>
        </w:rPr>
        <w:t>gelijke behandeling</w:t>
      </w:r>
      <w:r w:rsidRPr="00597165">
        <w:rPr>
          <w:rFonts w:cstheme="minorHAnsi"/>
          <w:sz w:val="28"/>
          <w:szCs w:val="28"/>
        </w:rPr>
        <w:t xml:space="preserve"> en verbiedt discriminatie op welke grond dan ook.</w:t>
      </w:r>
    </w:p>
    <w:p w14:paraId="06C635FA" w14:textId="77777777" w:rsidR="00597165" w:rsidRPr="00597165" w:rsidRDefault="00597165" w:rsidP="00597165">
      <w:pPr>
        <w:numPr>
          <w:ilvl w:val="0"/>
          <w:numId w:val="17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De naheffing veroorzaakt </w:t>
      </w:r>
      <w:r w:rsidRPr="00597165">
        <w:rPr>
          <w:rFonts w:cstheme="minorHAnsi"/>
          <w:b/>
          <w:bCs/>
          <w:sz w:val="28"/>
          <w:szCs w:val="28"/>
        </w:rPr>
        <w:t>ongelijke behandeling</w:t>
      </w:r>
      <w:r w:rsidRPr="00597165">
        <w:rPr>
          <w:rFonts w:cstheme="minorHAnsi"/>
          <w:sz w:val="28"/>
          <w:szCs w:val="28"/>
        </w:rPr>
        <w:t xml:space="preserve"> ten opzichte van mensen zonder beperking.</w:t>
      </w:r>
    </w:p>
    <w:p w14:paraId="7D11709D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Symbol" w:hAnsi="Segoe UI Symbol" w:cs="Segoe UI Symbol"/>
          <w:b/>
          <w:bCs/>
          <w:sz w:val="28"/>
          <w:szCs w:val="28"/>
        </w:rPr>
        <w:t>➤</w:t>
      </w:r>
      <w:r w:rsidRPr="00597165">
        <w:rPr>
          <w:rFonts w:cstheme="minorHAnsi"/>
          <w:b/>
          <w:bCs/>
          <w:sz w:val="28"/>
          <w:szCs w:val="28"/>
        </w:rPr>
        <w:t xml:space="preserve"> 5. Beleidsmatige en wettelijke steun</w:t>
      </w:r>
    </w:p>
    <w:p w14:paraId="211A2B1A" w14:textId="64801251" w:rsidR="00597165" w:rsidRPr="00597165" w:rsidRDefault="00597165" w:rsidP="00597165">
      <w:pPr>
        <w:numPr>
          <w:ilvl w:val="0"/>
          <w:numId w:val="18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Motie Tweede Kamer 2024:</w:t>
      </w:r>
      <w:r w:rsidRPr="00597165">
        <w:rPr>
          <w:rFonts w:cstheme="minorHAnsi"/>
          <w:sz w:val="28"/>
          <w:szCs w:val="28"/>
        </w:rPr>
        <w:t xml:space="preserve"> oproep om gemeentelijke verschillen in toegankelijk parkeerbeleid weg te nemen.</w:t>
      </w:r>
      <w:r w:rsidR="00FC6808">
        <w:rPr>
          <w:rFonts w:cstheme="minorHAnsi"/>
          <w:sz w:val="28"/>
          <w:szCs w:val="28"/>
        </w:rPr>
        <w:t xml:space="preserve"> </w:t>
      </w:r>
    </w:p>
    <w:p w14:paraId="03F445DD" w14:textId="77777777" w:rsidR="00597165" w:rsidRPr="00597165" w:rsidRDefault="00597165" w:rsidP="00597165">
      <w:pPr>
        <w:numPr>
          <w:ilvl w:val="0"/>
          <w:numId w:val="18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Wettelijke basis:</w:t>
      </w:r>
      <w:r w:rsidRPr="00597165">
        <w:rPr>
          <w:rFonts w:cstheme="minorHAnsi"/>
          <w:sz w:val="28"/>
          <w:szCs w:val="28"/>
        </w:rPr>
        <w:t xml:space="preserve"> strijdig met </w:t>
      </w:r>
      <w:proofErr w:type="spellStart"/>
      <w:r w:rsidRPr="00597165">
        <w:rPr>
          <w:rFonts w:cstheme="minorHAnsi"/>
          <w:sz w:val="28"/>
          <w:szCs w:val="28"/>
        </w:rPr>
        <w:t>Wgbh</w:t>
      </w:r>
      <w:proofErr w:type="spellEnd"/>
      <w:r w:rsidRPr="00597165">
        <w:rPr>
          <w:rFonts w:cstheme="minorHAnsi"/>
          <w:sz w:val="28"/>
          <w:szCs w:val="28"/>
        </w:rPr>
        <w:t>/</w:t>
      </w:r>
      <w:proofErr w:type="spellStart"/>
      <w:r w:rsidRPr="00597165">
        <w:rPr>
          <w:rFonts w:cstheme="minorHAnsi"/>
          <w:sz w:val="28"/>
          <w:szCs w:val="28"/>
        </w:rPr>
        <w:t>cz</w:t>
      </w:r>
      <w:proofErr w:type="spellEnd"/>
      <w:r w:rsidRPr="00597165">
        <w:rPr>
          <w:rFonts w:cstheme="minorHAnsi"/>
          <w:sz w:val="28"/>
          <w:szCs w:val="28"/>
        </w:rPr>
        <w:t xml:space="preserve">, </w:t>
      </w:r>
      <w:proofErr w:type="spellStart"/>
      <w:r w:rsidRPr="00597165">
        <w:rPr>
          <w:rFonts w:cstheme="minorHAnsi"/>
          <w:sz w:val="28"/>
          <w:szCs w:val="28"/>
        </w:rPr>
        <w:t>Awb</w:t>
      </w:r>
      <w:proofErr w:type="spellEnd"/>
      <w:r w:rsidRPr="00597165">
        <w:rPr>
          <w:rFonts w:cstheme="minorHAnsi"/>
          <w:sz w:val="28"/>
          <w:szCs w:val="28"/>
        </w:rPr>
        <w:t xml:space="preserve"> (art. 3:2, 3:4 lid 2, 3:46) en VN-verdrag handicap.</w:t>
      </w:r>
    </w:p>
    <w:p w14:paraId="4D28D25A" w14:textId="77777777" w:rsidR="00597165" w:rsidRPr="00597165" w:rsidRDefault="00597165" w:rsidP="00597165">
      <w:pPr>
        <w:numPr>
          <w:ilvl w:val="0"/>
          <w:numId w:val="18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VN-Comité 2024:</w:t>
      </w:r>
      <w:r w:rsidRPr="00597165">
        <w:rPr>
          <w:rFonts w:cstheme="minorHAnsi"/>
          <w:sz w:val="28"/>
          <w:szCs w:val="28"/>
        </w:rPr>
        <w:t xml:space="preserve"> benadrukt ongelijkheid door decentralisatie; mensen met beperking worden </w:t>
      </w:r>
      <w:r w:rsidRPr="00597165">
        <w:rPr>
          <w:rFonts w:cstheme="minorHAnsi"/>
          <w:b/>
          <w:bCs/>
          <w:sz w:val="28"/>
          <w:szCs w:val="28"/>
        </w:rPr>
        <w:t>ongelijk behandeld</w:t>
      </w:r>
      <w:r w:rsidRPr="00597165">
        <w:rPr>
          <w:rFonts w:cstheme="minorHAnsi"/>
          <w:sz w:val="28"/>
          <w:szCs w:val="28"/>
        </w:rPr>
        <w:t>.</w:t>
      </w:r>
    </w:p>
    <w:p w14:paraId="38614D2C" w14:textId="77777777" w:rsidR="00FC6808" w:rsidRDefault="00597165" w:rsidP="006849E2">
      <w:pPr>
        <w:numPr>
          <w:ilvl w:val="0"/>
          <w:numId w:val="18"/>
        </w:numPr>
        <w:ind w:left="360"/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>Link motie 2024:</w:t>
      </w:r>
      <w:r w:rsidRPr="00597165">
        <w:rPr>
          <w:rFonts w:cstheme="minorHAnsi"/>
          <w:sz w:val="28"/>
          <w:szCs w:val="28"/>
        </w:rPr>
        <w:t xml:space="preserve"> </w:t>
      </w:r>
      <w:hyperlink r:id="rId6" w:tgtFrame="_blank" w:history="1">
        <w:r w:rsidRPr="00597165">
          <w:rPr>
            <w:rStyle w:val="Hyperlink"/>
            <w:rFonts w:cstheme="minorHAnsi"/>
            <w:sz w:val="28"/>
            <w:szCs w:val="28"/>
          </w:rPr>
          <w:t>Tweede Kamer Motie</w:t>
        </w:r>
      </w:hyperlink>
      <w:r w:rsidR="00FC6808" w:rsidRPr="00FC6808">
        <w:rPr>
          <w:rFonts w:cstheme="minorHAnsi"/>
          <w:sz w:val="28"/>
          <w:szCs w:val="28"/>
        </w:rPr>
        <w:t xml:space="preserve"> (aangenomen).</w:t>
      </w:r>
    </w:p>
    <w:p w14:paraId="4298F8ED" w14:textId="63C83F5E" w:rsidR="00597165" w:rsidRPr="00597165" w:rsidRDefault="00597165" w:rsidP="006849E2">
      <w:pPr>
        <w:numPr>
          <w:ilvl w:val="0"/>
          <w:numId w:val="18"/>
        </w:numPr>
        <w:ind w:left="360"/>
        <w:rPr>
          <w:rFonts w:cstheme="minorHAnsi"/>
          <w:sz w:val="28"/>
          <w:szCs w:val="28"/>
        </w:rPr>
      </w:pPr>
      <w:r w:rsidRPr="00597165">
        <w:rPr>
          <w:rFonts w:cstheme="minorHAnsi"/>
          <w:b/>
          <w:bCs/>
          <w:sz w:val="28"/>
          <w:szCs w:val="28"/>
        </w:rPr>
        <w:t xml:space="preserve">Link </w:t>
      </w:r>
      <w:hyperlink r:id="rId7" w:tgtFrame="_blank" w:history="1">
        <w:r w:rsidRPr="00597165">
          <w:rPr>
            <w:rStyle w:val="Hyperlink"/>
            <w:rFonts w:cstheme="minorHAnsi"/>
            <w:b/>
            <w:bCs/>
            <w:sz w:val="28"/>
            <w:szCs w:val="28"/>
          </w:rPr>
          <w:t>VN-Comité conclusies 2024:</w:t>
        </w:r>
        <w:r w:rsidRPr="00597165">
          <w:rPr>
            <w:rStyle w:val="Hyperlink"/>
            <w:rFonts w:cstheme="minorHAnsi"/>
            <w:sz w:val="28"/>
            <w:szCs w:val="28"/>
          </w:rPr>
          <w:t xml:space="preserve"> UN </w:t>
        </w:r>
        <w:proofErr w:type="spellStart"/>
        <w:r w:rsidRPr="00597165">
          <w:rPr>
            <w:rStyle w:val="Hyperlink"/>
            <w:rFonts w:cstheme="minorHAnsi"/>
            <w:sz w:val="28"/>
            <w:szCs w:val="28"/>
          </w:rPr>
          <w:t>Concluding</w:t>
        </w:r>
        <w:proofErr w:type="spellEnd"/>
        <w:r w:rsidRPr="00597165">
          <w:rPr>
            <w:rStyle w:val="Hyperlink"/>
            <w:rFonts w:cstheme="minorHAnsi"/>
            <w:sz w:val="28"/>
            <w:szCs w:val="28"/>
          </w:rPr>
          <w:t xml:space="preserve"> </w:t>
        </w:r>
        <w:proofErr w:type="spellStart"/>
        <w:r w:rsidRPr="00597165">
          <w:rPr>
            <w:rStyle w:val="Hyperlink"/>
            <w:rFonts w:cstheme="minorHAnsi"/>
            <w:sz w:val="28"/>
            <w:szCs w:val="28"/>
          </w:rPr>
          <w:t>Observations</w:t>
        </w:r>
        <w:proofErr w:type="spellEnd"/>
      </w:hyperlink>
    </w:p>
    <w:p w14:paraId="01926502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pict w14:anchorId="2D7416E8">
          <v:rect id="_x0000_i1100" style="width:0;height:1.5pt" o:hralign="center" o:hrstd="t" o:hr="t" fillcolor="#a0a0a0" stroked="f"/>
        </w:pict>
      </w:r>
    </w:p>
    <w:p w14:paraId="6839A716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597165">
        <w:rPr>
          <w:rFonts w:cstheme="minorHAnsi"/>
          <w:b/>
          <w:bCs/>
          <w:sz w:val="28"/>
          <w:szCs w:val="28"/>
        </w:rPr>
        <w:t xml:space="preserve"> Conclusie / verzoek:</w:t>
      </w:r>
    </w:p>
    <w:p w14:paraId="06CBDB07" w14:textId="77777777" w:rsidR="00597165" w:rsidRPr="00597165" w:rsidRDefault="00597165" w:rsidP="00597165">
      <w:pPr>
        <w:numPr>
          <w:ilvl w:val="0"/>
          <w:numId w:val="19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 xml:space="preserve">Gelet op mijn situatie, </w:t>
      </w:r>
      <w:r w:rsidRPr="00597165">
        <w:rPr>
          <w:rFonts w:cstheme="minorHAnsi"/>
          <w:b/>
          <w:bCs/>
          <w:sz w:val="28"/>
          <w:szCs w:val="28"/>
        </w:rPr>
        <w:t>artikel 1 Grondwet</w:t>
      </w:r>
      <w:r w:rsidRPr="00597165">
        <w:rPr>
          <w:rFonts w:cstheme="minorHAnsi"/>
          <w:sz w:val="28"/>
          <w:szCs w:val="28"/>
        </w:rPr>
        <w:t>, juridische bescherming en beleidskader:</w:t>
      </w:r>
      <w:r w:rsidRPr="00597165">
        <w:rPr>
          <w:rFonts w:cstheme="minorHAnsi"/>
          <w:sz w:val="28"/>
          <w:szCs w:val="28"/>
        </w:rPr>
        <w:br/>
      </w:r>
      <w:r w:rsidRPr="00597165">
        <w:rPr>
          <w:rFonts w:cstheme="minorHAnsi"/>
          <w:b/>
          <w:bCs/>
          <w:sz w:val="28"/>
          <w:szCs w:val="28"/>
        </w:rPr>
        <w:t>verzoek ik u de naheffing te vernietigen.</w:t>
      </w:r>
    </w:p>
    <w:p w14:paraId="559E46ED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pict w14:anchorId="599F7DEC">
          <v:rect id="_x0000_i1101" style="width:0;height:1.5pt" o:hralign="center" o:hrstd="t" o:hr="t" fillcolor="#a0a0a0" stroked="f"/>
        </w:pict>
      </w:r>
    </w:p>
    <w:p w14:paraId="3413D275" w14:textId="77777777" w:rsidR="00597165" w:rsidRPr="00597165" w:rsidRDefault="00597165" w:rsidP="00597165">
      <w:pPr>
        <w:rPr>
          <w:rFonts w:cstheme="minorHAnsi"/>
          <w:sz w:val="28"/>
          <w:szCs w:val="28"/>
        </w:rPr>
      </w:pPr>
      <w:r w:rsidRPr="00597165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597165">
        <w:rPr>
          <w:rFonts w:cstheme="minorHAnsi"/>
          <w:b/>
          <w:bCs/>
          <w:sz w:val="28"/>
          <w:szCs w:val="28"/>
        </w:rPr>
        <w:t xml:space="preserve"> Tips voor verzending:</w:t>
      </w:r>
    </w:p>
    <w:p w14:paraId="62D7C103" w14:textId="417DC78B" w:rsidR="00FC6808" w:rsidRPr="00597165" w:rsidRDefault="00597165" w:rsidP="00FC6808">
      <w:pPr>
        <w:numPr>
          <w:ilvl w:val="0"/>
          <w:numId w:val="20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Verstuur de e-mail via het officiële e-mailadres van de bezwaarafdeling.</w:t>
      </w:r>
    </w:p>
    <w:p w14:paraId="28EDD8CD" w14:textId="77777777" w:rsidR="00597165" w:rsidRPr="00597165" w:rsidRDefault="00597165" w:rsidP="00597165">
      <w:pPr>
        <w:numPr>
          <w:ilvl w:val="0"/>
          <w:numId w:val="20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Voeg alle links toe zoals hierboven, zodat de commissie ze direct kan openen.</w:t>
      </w:r>
    </w:p>
    <w:p w14:paraId="47A2F8EE" w14:textId="77777777" w:rsidR="00597165" w:rsidRDefault="00597165" w:rsidP="00597165">
      <w:pPr>
        <w:numPr>
          <w:ilvl w:val="0"/>
          <w:numId w:val="20"/>
        </w:numPr>
        <w:rPr>
          <w:rFonts w:cstheme="minorHAnsi"/>
          <w:sz w:val="28"/>
          <w:szCs w:val="28"/>
        </w:rPr>
      </w:pPr>
      <w:r w:rsidRPr="00597165">
        <w:rPr>
          <w:rFonts w:cstheme="minorHAnsi"/>
          <w:sz w:val="28"/>
          <w:szCs w:val="28"/>
        </w:rPr>
        <w:t>Bewaar een kopie van de verzonden e-mail als bewijs van tijdige indiening.</w:t>
      </w:r>
    </w:p>
    <w:p w14:paraId="23F57CCA" w14:textId="11D9B50C" w:rsidR="00FC6808" w:rsidRPr="00597165" w:rsidRDefault="00FC6808" w:rsidP="00FC6808">
      <w:pPr>
        <w:ind w:left="720"/>
        <w:rPr>
          <w:rFonts w:cstheme="minorHAnsi"/>
          <w:sz w:val="28"/>
          <w:szCs w:val="28"/>
        </w:rPr>
      </w:pPr>
    </w:p>
    <w:p w14:paraId="12423CA2" w14:textId="77777777" w:rsidR="001810E1" w:rsidRPr="00597165" w:rsidRDefault="001810E1" w:rsidP="00597165">
      <w:pPr>
        <w:rPr>
          <w:rFonts w:cstheme="minorHAnsi"/>
          <w:sz w:val="28"/>
          <w:szCs w:val="28"/>
        </w:rPr>
      </w:pPr>
    </w:p>
    <w:sectPr w:rsidR="001810E1" w:rsidRPr="00597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050"/>
    <w:multiLevelType w:val="multilevel"/>
    <w:tmpl w:val="9DA0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E7E"/>
    <w:multiLevelType w:val="multilevel"/>
    <w:tmpl w:val="C22C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34912"/>
    <w:multiLevelType w:val="multilevel"/>
    <w:tmpl w:val="099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61D56"/>
    <w:multiLevelType w:val="multilevel"/>
    <w:tmpl w:val="4D66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E6C31"/>
    <w:multiLevelType w:val="multilevel"/>
    <w:tmpl w:val="AD80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56CE7"/>
    <w:multiLevelType w:val="multilevel"/>
    <w:tmpl w:val="3DC6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12415"/>
    <w:multiLevelType w:val="multilevel"/>
    <w:tmpl w:val="0A9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C6ECB"/>
    <w:multiLevelType w:val="multilevel"/>
    <w:tmpl w:val="3F8A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71E16"/>
    <w:multiLevelType w:val="multilevel"/>
    <w:tmpl w:val="AED0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76B2C"/>
    <w:multiLevelType w:val="multilevel"/>
    <w:tmpl w:val="AC5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85A55"/>
    <w:multiLevelType w:val="multilevel"/>
    <w:tmpl w:val="6ABC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94805"/>
    <w:multiLevelType w:val="multilevel"/>
    <w:tmpl w:val="6D24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D39A8"/>
    <w:multiLevelType w:val="multilevel"/>
    <w:tmpl w:val="4C78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F746F"/>
    <w:multiLevelType w:val="multilevel"/>
    <w:tmpl w:val="1F9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431E9"/>
    <w:multiLevelType w:val="multilevel"/>
    <w:tmpl w:val="CF3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D741E"/>
    <w:multiLevelType w:val="multilevel"/>
    <w:tmpl w:val="F7C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729DD"/>
    <w:multiLevelType w:val="multilevel"/>
    <w:tmpl w:val="57C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86A83"/>
    <w:multiLevelType w:val="multilevel"/>
    <w:tmpl w:val="F996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D357C"/>
    <w:multiLevelType w:val="multilevel"/>
    <w:tmpl w:val="222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B7565"/>
    <w:multiLevelType w:val="multilevel"/>
    <w:tmpl w:val="CB8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311838">
    <w:abstractNumId w:val="11"/>
  </w:num>
  <w:num w:numId="2" w16cid:durableId="802775802">
    <w:abstractNumId w:val="4"/>
  </w:num>
  <w:num w:numId="3" w16cid:durableId="1032611935">
    <w:abstractNumId w:val="13"/>
  </w:num>
  <w:num w:numId="4" w16cid:durableId="1036924798">
    <w:abstractNumId w:val="8"/>
  </w:num>
  <w:num w:numId="5" w16cid:durableId="1702123475">
    <w:abstractNumId w:val="3"/>
  </w:num>
  <w:num w:numId="6" w16cid:durableId="1741102167">
    <w:abstractNumId w:val="15"/>
  </w:num>
  <w:num w:numId="7" w16cid:durableId="583690309">
    <w:abstractNumId w:val="12"/>
  </w:num>
  <w:num w:numId="8" w16cid:durableId="715007365">
    <w:abstractNumId w:val="18"/>
  </w:num>
  <w:num w:numId="9" w16cid:durableId="1345354014">
    <w:abstractNumId w:val="1"/>
  </w:num>
  <w:num w:numId="10" w16cid:durableId="19161294">
    <w:abstractNumId w:val="6"/>
  </w:num>
  <w:num w:numId="11" w16cid:durableId="1936790972">
    <w:abstractNumId w:val="19"/>
  </w:num>
  <w:num w:numId="12" w16cid:durableId="1902404183">
    <w:abstractNumId w:val="0"/>
  </w:num>
  <w:num w:numId="13" w16cid:durableId="1735663016">
    <w:abstractNumId w:val="14"/>
  </w:num>
  <w:num w:numId="14" w16cid:durableId="800151607">
    <w:abstractNumId w:val="10"/>
  </w:num>
  <w:num w:numId="15" w16cid:durableId="598953143">
    <w:abstractNumId w:val="17"/>
  </w:num>
  <w:num w:numId="16" w16cid:durableId="1760366026">
    <w:abstractNumId w:val="9"/>
  </w:num>
  <w:num w:numId="17" w16cid:durableId="1656302234">
    <w:abstractNumId w:val="5"/>
  </w:num>
  <w:num w:numId="18" w16cid:durableId="1573000856">
    <w:abstractNumId w:val="2"/>
  </w:num>
  <w:num w:numId="19" w16cid:durableId="1553493968">
    <w:abstractNumId w:val="16"/>
  </w:num>
  <w:num w:numId="20" w16cid:durableId="1780678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E8"/>
    <w:rsid w:val="001810E1"/>
    <w:rsid w:val="00327DE8"/>
    <w:rsid w:val="003A7FD7"/>
    <w:rsid w:val="00567EBC"/>
    <w:rsid w:val="00597165"/>
    <w:rsid w:val="00902514"/>
    <w:rsid w:val="009C503A"/>
    <w:rsid w:val="00CE2EDE"/>
    <w:rsid w:val="00D927F7"/>
    <w:rsid w:val="00EC204B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8EA5"/>
  <w15:chartTrackingRefBased/>
  <w15:docId w15:val="{3DFEC0D4-071A-4737-9C2A-FFBEF939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7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7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DE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DE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D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D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D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D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7D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7D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7DE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7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7DE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7D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A7F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documenten/rapporten/2024/12/05/aanbevelingen-van-het-vn-comite-op-eerste-rapport-over-implementatie-van-vn-verdrag-handicap-in-neder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eedekamer.nl/kamerstukken/moties/detail?id=2024D38034&amp;did=2024D38034" TargetMode="External"/><Relationship Id="rId5" Type="http://schemas.openxmlformats.org/officeDocument/2006/relationships/hyperlink" Target="https://uitspraken.rechtspraak.nl/details?id=ECLI:NL:RBDHA:2015:40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Slingenberg</dc:creator>
  <cp:keywords/>
  <dc:description/>
  <cp:lastModifiedBy>Martin Slingenberg</cp:lastModifiedBy>
  <cp:revision>2</cp:revision>
  <dcterms:created xsi:type="dcterms:W3CDTF">2025-10-21T13:40:00Z</dcterms:created>
  <dcterms:modified xsi:type="dcterms:W3CDTF">2025-10-21T13:40:00Z</dcterms:modified>
</cp:coreProperties>
</file>